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5" w:rsidRPr="002C60C5" w:rsidRDefault="002C60C5" w:rsidP="002C60C5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</w:rPr>
      </w:pPr>
      <w:r w:rsidRPr="002C60C5">
        <w:rPr>
          <w:rFonts w:ascii="Arial" w:eastAsia="Times New Roman" w:hAnsi="Arial" w:cs="Arial"/>
          <w:color w:val="007AD0"/>
          <w:kern w:val="36"/>
          <w:sz w:val="29"/>
          <w:szCs w:val="29"/>
        </w:rPr>
        <w:t>СИТУАЦИИ - ЛОВУШКИ на дороге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1.“ЛОВУШКИ” ЗАКРЫТОГО ОБЗОРА.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 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2. “ЛОВУШКИ” В ЗОНЕ ОСТАНОВКИ ОБЩЕСТВЕННОГО ТРАНСПОРТА.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3. “ЛОВУШКИ” НА ПЕШЕХОДНОМ ПЕРЕХОДЕ.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2C60C5" w:rsidRPr="002C60C5" w:rsidRDefault="002C60C5" w:rsidP="002C60C5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4. “ЛОВУШКИ” НА УГЛУ ПЕРЕКРЕСТКА.</w:t>
      </w: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5. “ЛОВУШКИ” У СВЕТОФОРА.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b/>
          <w:bCs/>
          <w:color w:val="555555"/>
          <w:sz w:val="17"/>
        </w:rPr>
        <w:t>6. “ЛОВУШКИ” ОТВЛЕЧЕНИЯ ВНИМАНИЯ.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2C60C5" w:rsidRPr="002C60C5" w:rsidRDefault="002C60C5" w:rsidP="002C60C5">
      <w:pPr>
        <w:shd w:val="clear" w:color="auto" w:fill="FFFFFF"/>
        <w:spacing w:before="150" w:after="150" w:line="408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Arial" w:eastAsia="Times New Roman" w:hAnsi="Arial" w:cs="Arial"/>
          <w:color w:val="555555"/>
          <w:sz w:val="17"/>
          <w:szCs w:val="17"/>
        </w:rPr>
        <w:t>К дорожным “ловушкам” могут привести и еще два изобретения – плеер и мобильный телефон. Конечно, хорошо совмещать полезное с приятным,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2C60C5" w:rsidRPr="002C60C5" w:rsidRDefault="005667CA" w:rsidP="002C60C5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hyperlink r:id="rId7" w:tgtFrame="_blank" w:history="1">
        <w:proofErr w:type="spellStart"/>
        <w:r w:rsidR="002C60C5" w:rsidRPr="002C60C5">
          <w:rPr>
            <w:rFonts w:ascii="Tahoma" w:eastAsia="Times New Roman" w:hAnsi="Tahoma" w:cs="Tahoma"/>
            <w:color w:val="007AD0"/>
            <w:sz w:val="17"/>
            <w:u w:val="single"/>
          </w:rPr>
          <w:t>Ccылка</w:t>
        </w:r>
        <w:proofErr w:type="spellEnd"/>
        <w:r w:rsidR="002C60C5" w:rsidRPr="002C60C5">
          <w:rPr>
            <w:rFonts w:ascii="Tahoma" w:eastAsia="Times New Roman" w:hAnsi="Tahoma" w:cs="Tahoma"/>
            <w:color w:val="007AD0"/>
            <w:sz w:val="17"/>
            <w:u w:val="single"/>
          </w:rPr>
          <w:t xml:space="preserve"> на видео</w:t>
        </w:r>
      </w:hyperlink>
    </w:p>
    <w:p w:rsidR="002C60C5" w:rsidRPr="002C60C5" w:rsidRDefault="002C60C5" w:rsidP="002C60C5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2" name="Рисунок 2" descr="6.jpg">
              <a:hlinkClick xmlns:a="http://schemas.openxmlformats.org/drawingml/2006/main" r:id="rId8" tooltip="&quot;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.jpg">
                      <a:hlinkClick r:id="rId8" tooltip="&quot;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3" name="Рисунок 3" descr="8.jpg">
              <a:hlinkClick xmlns:a="http://schemas.openxmlformats.org/drawingml/2006/main" r:id="rId10" tooltip="&quot;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jpg">
                      <a:hlinkClick r:id="rId10" tooltip="&quot;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4" name="Рисунок 4" descr="slide_5.jpg">
              <a:hlinkClick xmlns:a="http://schemas.openxmlformats.org/drawingml/2006/main" r:id="rId12" tooltip="&quot;slide_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_5.jpg">
                      <a:hlinkClick r:id="rId12" tooltip="&quot;slide_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5" name="Рисунок 5" descr="slide_4.jpg">
              <a:hlinkClick xmlns:a="http://schemas.openxmlformats.org/drawingml/2006/main" r:id="rId14" tooltip="&quot;slide_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de_4.jpg">
                      <a:hlinkClick r:id="rId14" tooltip="&quot;slide_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6" name="Рисунок 6" descr="img11.jpg">
              <a:hlinkClick xmlns:a="http://schemas.openxmlformats.org/drawingml/2006/main" r:id="rId16" tooltip="&quot;img1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1.jpg">
                      <a:hlinkClick r:id="rId16" tooltip="&quot;img1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7" name="Рисунок 7" descr="news_24.jpg">
              <a:hlinkClick xmlns:a="http://schemas.openxmlformats.org/drawingml/2006/main" r:id="rId18" tooltip="&quot;news_2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s_24.jpg">
                      <a:hlinkClick r:id="rId18" tooltip="&quot;news_2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8" name="Рисунок 8" descr="p129_20b.jpg">
              <a:hlinkClick xmlns:a="http://schemas.openxmlformats.org/drawingml/2006/main" r:id="rId20" tooltip="&quot;p129_20b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29_20b.jpg">
                      <a:hlinkClick r:id="rId20" tooltip="&quot;p129_20b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9" name="Рисунок 9" descr="007.jpg">
              <a:hlinkClick xmlns:a="http://schemas.openxmlformats.org/drawingml/2006/main" r:id="rId22" tooltip="&quot;00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7.jpg">
                      <a:hlinkClick r:id="rId22" tooltip="&quot;00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C5" w:rsidRPr="002C60C5" w:rsidRDefault="002C60C5" w:rsidP="002C60C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C60C5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C60C5" w:rsidRPr="002C60C5" w:rsidRDefault="002C60C5" w:rsidP="002C60C5">
      <w:pPr>
        <w:numPr>
          <w:ilvl w:val="0"/>
          <w:numId w:val="1"/>
        </w:num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</w:rPr>
      </w:pP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1333500" cy="1333500"/>
            <wp:effectExtent l="19050" t="0" r="0" b="0"/>
            <wp:docPr id="10" name="Рисунок 10" descr="84488129.png">
              <a:hlinkClick xmlns:a="http://schemas.openxmlformats.org/drawingml/2006/main" r:id="rId24" tooltip="&quot;84488129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4488129.png">
                      <a:hlinkClick r:id="rId24" tooltip="&quot;84488129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79" w:rsidRDefault="00215F79"/>
    <w:sectPr w:rsidR="00215F79" w:rsidSect="0056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D27"/>
    <w:multiLevelType w:val="multilevel"/>
    <w:tmpl w:val="366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2C60C5"/>
    <w:rsid w:val="00215F79"/>
    <w:rsid w:val="002C60C5"/>
    <w:rsid w:val="005667CA"/>
    <w:rsid w:val="007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CA"/>
  </w:style>
  <w:style w:type="paragraph" w:styleId="1">
    <w:name w:val="heading 1"/>
    <w:basedOn w:val="a"/>
    <w:link w:val="10"/>
    <w:uiPriority w:val="9"/>
    <w:qFormat/>
    <w:rsid w:val="002C6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0C5"/>
    <w:rPr>
      <w:b/>
      <w:bCs/>
    </w:rPr>
  </w:style>
  <w:style w:type="character" w:styleId="a5">
    <w:name w:val="Hyperlink"/>
    <w:basedOn w:val="a0"/>
    <w:uiPriority w:val="99"/>
    <w:semiHidden/>
    <w:unhideWhenUsed/>
    <w:rsid w:val="002C60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0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art.tvoysadik.ru/upload/ts22art_new/images/big/87/ee/87ee5bf6fc9c6b6be617d484ff2b54c7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22art.tvoysadik.ru/upload/ts22art_new/images/big/37/f9/37f94cf48f261c20ce0a13b24cbb6cc0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youtube.com/watch?v=cMHLlShTEnY" TargetMode="External"/><Relationship Id="rId12" Type="http://schemas.openxmlformats.org/officeDocument/2006/relationships/hyperlink" Target="https://22art.tvoysadik.ru/upload/ts22art_new/images/big/cf/ec/cfec92beabb3810d6d14b05bd070508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22art.tvoysadik.ru/upload/ts22art_new/images/big/30/2f/302fa729f80d04d21786f47f4b71646b.jpg" TargetMode="External"/><Relationship Id="rId20" Type="http://schemas.openxmlformats.org/officeDocument/2006/relationships/hyperlink" Target="https://22art.tvoysadik.ru/upload/ts22art_new/images/big/63/0d/630df62da0b08961bd1aebd0f609096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s://22art.tvoysadik.ru/upload/ts22art_new/images/big/0f/37/0f37690fc0d44cddac041f925ad74577.png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22art.tvoysadik.ru/upload/ts22art_new/images/big/db/ee/dbeeefd3786438d4120f744f68e28e30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22art.tvoysadik.ru/upload/ts22art_new/images/big/73/a7/73a7713f18a14d1ce6c3b52ffd6fd074.jpg" TargetMode="External"/><Relationship Id="rId22" Type="http://schemas.openxmlformats.org/officeDocument/2006/relationships/hyperlink" Target="https://22art.tvoysadik.ru/upload/ts22art_new/images/big/38/78/38787cddfabf34b6b98b5248078842cc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3</cp:revision>
  <dcterms:created xsi:type="dcterms:W3CDTF">2024-08-20T07:32:00Z</dcterms:created>
  <dcterms:modified xsi:type="dcterms:W3CDTF">2024-08-26T08:20:00Z</dcterms:modified>
</cp:coreProperties>
</file>